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BD861" w14:textId="1A2898EE" w:rsidR="003922A5" w:rsidRPr="00AC00A6" w:rsidRDefault="007643E4">
      <w:pPr>
        <w:rPr>
          <w:b/>
          <w:bCs/>
          <w:sz w:val="28"/>
          <w:szCs w:val="28"/>
        </w:rPr>
      </w:pPr>
      <w:r w:rsidRPr="00AC00A6">
        <w:rPr>
          <w:b/>
          <w:bCs/>
          <w:sz w:val="28"/>
          <w:szCs w:val="28"/>
        </w:rPr>
        <w:t xml:space="preserve">How to monitor 2 or more </w:t>
      </w:r>
      <w:r w:rsidR="00AC00A6" w:rsidRPr="00AC00A6">
        <w:rPr>
          <w:b/>
          <w:bCs/>
          <w:sz w:val="28"/>
          <w:szCs w:val="28"/>
        </w:rPr>
        <w:t xml:space="preserve">LCMS </w:t>
      </w:r>
      <w:r w:rsidRPr="00AC00A6">
        <w:rPr>
          <w:b/>
          <w:bCs/>
          <w:sz w:val="28"/>
          <w:szCs w:val="28"/>
        </w:rPr>
        <w:t>signals at the same time</w:t>
      </w:r>
      <w:r w:rsidR="00AC00A6">
        <w:rPr>
          <w:b/>
          <w:bCs/>
          <w:sz w:val="28"/>
          <w:szCs w:val="28"/>
        </w:rPr>
        <w:t xml:space="preserve"> in OLCDS2.4</w:t>
      </w:r>
    </w:p>
    <w:p w14:paraId="5F07DFE9" w14:textId="47DC5D00" w:rsidR="00AC00A6" w:rsidRDefault="00AC00A6">
      <w:r>
        <w:t xml:space="preserve">On the </w:t>
      </w:r>
      <w:r w:rsidRPr="00D05119">
        <w:rPr>
          <w:b/>
          <w:bCs/>
        </w:rPr>
        <w:t>Method</w:t>
      </w:r>
      <w:r>
        <w:t xml:space="preserve"> tab:</w:t>
      </w:r>
    </w:p>
    <w:p w14:paraId="1F6D374D" w14:textId="1ADEF92B" w:rsidR="007643E4" w:rsidRDefault="00AC00A6">
      <w:r>
        <w:rPr>
          <w:noProof/>
        </w:rPr>
        <w:drawing>
          <wp:inline distT="0" distB="0" distL="0" distR="0" wp14:anchorId="603D3415" wp14:editId="13D321A6">
            <wp:extent cx="5731510" cy="10363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99AEB" w14:textId="77777777" w:rsidR="00AC00A6" w:rsidRDefault="00AC00A6"/>
    <w:p w14:paraId="186B5FE9" w14:textId="7531C847" w:rsidR="007643E4" w:rsidRDefault="007643E4">
      <w:r>
        <w:t xml:space="preserve">Make sure your </w:t>
      </w:r>
      <w:r w:rsidRPr="007643E4">
        <w:rPr>
          <w:b/>
          <w:bCs/>
        </w:rPr>
        <w:t>Acquisition Parameters</w:t>
      </w:r>
      <w:r>
        <w:t xml:space="preserve"> are set how you want them. Here I have 2 SIM ions (195.1 &amp; 609.3m/z). Then in the </w:t>
      </w:r>
      <w:r w:rsidRPr="007643E4">
        <w:rPr>
          <w:b/>
          <w:bCs/>
        </w:rPr>
        <w:t>Chromatograms</w:t>
      </w:r>
      <w:r>
        <w:t xml:space="preserve"> section of the SQ method, and the </w:t>
      </w:r>
      <w:proofErr w:type="spellStart"/>
      <w:r w:rsidRPr="00D05119">
        <w:rPr>
          <w:b/>
          <w:bCs/>
        </w:rPr>
        <w:t>Chrom</w:t>
      </w:r>
      <w:proofErr w:type="spellEnd"/>
      <w:r w:rsidRPr="00D05119">
        <w:rPr>
          <w:b/>
          <w:bCs/>
        </w:rPr>
        <w:t xml:space="preserve"> Type</w:t>
      </w:r>
      <w:r>
        <w:t xml:space="preserve"> you wish to monitor – here I chose EIC for both. Select the extracted mass you wish to observe in the Online plot and be as descriptive as possible in the </w:t>
      </w:r>
      <w:r w:rsidRPr="00D05119">
        <w:rPr>
          <w:b/>
          <w:bCs/>
        </w:rPr>
        <w:t>Label</w:t>
      </w:r>
      <w:r>
        <w:t xml:space="preserve"> – the default setting for EIC labels the plot as </w:t>
      </w:r>
      <w:r w:rsidRPr="00D05119">
        <w:rPr>
          <w:i/>
          <w:iCs/>
        </w:rPr>
        <w:t>EIC</w:t>
      </w:r>
      <w:r>
        <w:t xml:space="preserve"> and it could be tricky to distinguish which plot belongs to which ion:</w:t>
      </w:r>
      <w:bookmarkStart w:id="0" w:name="_GoBack"/>
      <w:bookmarkEnd w:id="0"/>
    </w:p>
    <w:p w14:paraId="65D0A8DE" w14:textId="7EC1289C" w:rsidR="007643E4" w:rsidRDefault="007643E4">
      <w:r w:rsidRPr="007643E4">
        <w:drawing>
          <wp:inline distT="0" distB="0" distL="0" distR="0" wp14:anchorId="533FE700" wp14:editId="3B1725C1">
            <wp:extent cx="5731510" cy="17189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08C61" w14:textId="77777777" w:rsidR="00AC00A6" w:rsidRDefault="00AC00A6"/>
    <w:p w14:paraId="089D673B" w14:textId="46892155" w:rsidR="007643E4" w:rsidRDefault="007643E4">
      <w:r>
        <w:t>Remember that the Chromatograms section is part of the method, so be sure to Save the method (or Save As):</w:t>
      </w:r>
    </w:p>
    <w:p w14:paraId="75174936" w14:textId="47D8D7A5" w:rsidR="007643E4" w:rsidRDefault="007643E4">
      <w:r>
        <w:rPr>
          <w:noProof/>
        </w:rPr>
        <w:drawing>
          <wp:inline distT="0" distB="0" distL="0" distR="0" wp14:anchorId="64D5A32A" wp14:editId="72E1745F">
            <wp:extent cx="3609975" cy="904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92A66" w14:textId="77777777" w:rsidR="00AC00A6" w:rsidRDefault="00AC00A6"/>
    <w:p w14:paraId="6F99FFE6" w14:textId="29D699A7" w:rsidR="007643E4" w:rsidRDefault="00AC00A6">
      <w:proofErr w:type="gramStart"/>
      <w:r>
        <w:t>…..</w:t>
      </w:r>
      <w:proofErr w:type="gramEnd"/>
      <w:r w:rsidR="007643E4">
        <w:t>and then Download to the Instrument:</w:t>
      </w:r>
    </w:p>
    <w:p w14:paraId="67F1522A" w14:textId="21C3570F" w:rsidR="00AC00A6" w:rsidRDefault="00AC00A6">
      <w:r>
        <w:rPr>
          <w:noProof/>
        </w:rPr>
        <w:drawing>
          <wp:inline distT="0" distB="0" distL="0" distR="0" wp14:anchorId="536B083A" wp14:editId="4C277BC0">
            <wp:extent cx="3429000" cy="828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F99E9" w14:textId="43A8233A" w:rsidR="00AC00A6" w:rsidRDefault="00AC00A6"/>
    <w:p w14:paraId="5A735863" w14:textId="77777777" w:rsidR="00AC00A6" w:rsidRDefault="00AC00A6"/>
    <w:p w14:paraId="245C3686" w14:textId="168DD6BA" w:rsidR="00AC00A6" w:rsidRDefault="00AC00A6">
      <w:r>
        <w:lastRenderedPageBreak/>
        <w:t>Then on the Status tab:</w:t>
      </w:r>
    </w:p>
    <w:p w14:paraId="044CEF88" w14:textId="0DDAE4B1" w:rsidR="00AC00A6" w:rsidRDefault="00AC00A6">
      <w:r>
        <w:rPr>
          <w:noProof/>
        </w:rPr>
        <w:drawing>
          <wp:inline distT="0" distB="0" distL="0" distR="0" wp14:anchorId="7D32D323" wp14:editId="22CB7571">
            <wp:extent cx="5731510" cy="1006475"/>
            <wp:effectExtent l="0" t="0" r="254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4229C" w14:textId="0B5E6E8F" w:rsidR="00AC00A6" w:rsidRDefault="00AC00A6">
      <w:proofErr w:type="spellStart"/>
      <w:r>
        <w:t>Goto</w:t>
      </w:r>
      <w:proofErr w:type="spellEnd"/>
      <w:r>
        <w:t xml:space="preserve"> Online Signals and the 2 chromatograms you set up previously should now be visible. I have shown them here as ‘Separate’ </w:t>
      </w:r>
      <w:proofErr w:type="gramStart"/>
      <w:r>
        <w:t>signals</w:t>
      </w:r>
      <w:proofErr w:type="gramEnd"/>
      <w:r>
        <w:t xml:space="preserve"> but you can have them ‘Overlaid’ if you prefer:</w:t>
      </w:r>
    </w:p>
    <w:p w14:paraId="312434C5" w14:textId="40C415B4" w:rsidR="00AC00A6" w:rsidRDefault="00AC00A6">
      <w:r>
        <w:rPr>
          <w:noProof/>
        </w:rPr>
        <w:drawing>
          <wp:inline distT="0" distB="0" distL="0" distR="0" wp14:anchorId="4807D2FB" wp14:editId="4AADEFF2">
            <wp:extent cx="5731510" cy="3556635"/>
            <wp:effectExtent l="0" t="0" r="254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5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1653F" w14:textId="6BFFAE10" w:rsidR="00AC00A6" w:rsidRDefault="00AC00A6"/>
    <w:p w14:paraId="4AC59E56" w14:textId="18201098" w:rsidR="00AC00A6" w:rsidRDefault="00AC00A6">
      <w:r>
        <w:t>If you don’t see the Online Signals scroll up to the top of the screen and make sure the option is highlighted:</w:t>
      </w:r>
    </w:p>
    <w:p w14:paraId="21294693" w14:textId="0C8E8F72" w:rsidR="00AC00A6" w:rsidRDefault="00AC00A6">
      <w:r>
        <w:rPr>
          <w:noProof/>
        </w:rPr>
        <w:drawing>
          <wp:inline distT="0" distB="0" distL="0" distR="0" wp14:anchorId="5421C481" wp14:editId="2B382F59">
            <wp:extent cx="5731510" cy="1077595"/>
            <wp:effectExtent l="0" t="0" r="254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1F176" w14:textId="77777777" w:rsidR="007643E4" w:rsidRDefault="007643E4"/>
    <w:sectPr w:rsidR="00764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E4"/>
    <w:rsid w:val="003922A5"/>
    <w:rsid w:val="007643E4"/>
    <w:rsid w:val="00AC00A6"/>
    <w:rsid w:val="00D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81A90"/>
  <w15:chartTrackingRefBased/>
  <w15:docId w15:val="{FD647965-CF4E-4DE6-BDFA-9F084579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551B5CD392F4682DDB6CE0DE76E11" ma:contentTypeVersion="13" ma:contentTypeDescription="Create a new document." ma:contentTypeScope="" ma:versionID="af383de85a5b462d1c3b311220222858">
  <xsd:schema xmlns:xsd="http://www.w3.org/2001/XMLSchema" xmlns:xs="http://www.w3.org/2001/XMLSchema" xmlns:p="http://schemas.microsoft.com/office/2006/metadata/properties" xmlns:ns3="c1827274-02fc-4a1c-8e0f-73f155ee9132" xmlns:ns4="6795fe3b-8fe8-46e6-b905-ba3d70a508d5" targetNamespace="http://schemas.microsoft.com/office/2006/metadata/properties" ma:root="true" ma:fieldsID="fc29e75f199219e169f4ef75bd5bab9f" ns3:_="" ns4:_="">
    <xsd:import namespace="c1827274-02fc-4a1c-8e0f-73f155ee9132"/>
    <xsd:import namespace="6795fe3b-8fe8-46e6-b905-ba3d70a508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27274-02fc-4a1c-8e0f-73f155ee91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5fe3b-8fe8-46e6-b905-ba3d70a50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A8722E-B60B-416D-93A8-6942CB3F8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27274-02fc-4a1c-8e0f-73f155ee9132"/>
    <ds:schemaRef ds:uri="6795fe3b-8fe8-46e6-b905-ba3d70a50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5F9E17-EF11-4D70-A5DF-E9579CBD5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26253-E27D-4637-8984-020B2D461415}">
  <ds:schemaRefs>
    <ds:schemaRef ds:uri="http://schemas.microsoft.com/office/2006/documentManagement/types"/>
    <ds:schemaRef ds:uri="http://schemas.microsoft.com/office/2006/metadata/properties"/>
    <ds:schemaRef ds:uri="c1827274-02fc-4a1c-8e0f-73f155ee9132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795fe3b-8fe8-46e6-b905-ba3d70a508d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MOBBS,DANIEL (Agilent GBR)</dc:creator>
  <cp:keywords/>
  <dc:description/>
  <cp:lastModifiedBy>MOBBS,DANIEL (Agilent GBR)</cp:lastModifiedBy>
  <cp:revision>1</cp:revision>
  <dcterms:created xsi:type="dcterms:W3CDTF">2020-05-26T14:12:00Z</dcterms:created>
  <dcterms:modified xsi:type="dcterms:W3CDTF">2020-05-26T14:58:00Z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0x01010034C551B5CD392F4682DDB6CE0DE76E11</vt:lpwstr>
  </property>
</Properties>
</file>